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D7" w:rsidRDefault="005049FA">
      <w:pPr>
        <w:pStyle w:val="Titre"/>
      </w:pPr>
      <w:r>
        <w:t>Charte environnement</w:t>
      </w:r>
    </w:p>
    <w:p w:rsidR="00BC69D7" w:rsidRDefault="00BC69D7">
      <w:pPr>
        <w:pStyle w:val="Titre"/>
      </w:pPr>
    </w:p>
    <w:p w:rsidR="00BC69D7" w:rsidRDefault="005049FA">
      <w:pPr>
        <w:pStyle w:val="Titre"/>
      </w:pPr>
      <w:r>
        <w:rPr>
          <w:u w:val="none"/>
        </w:rPr>
        <w:t>Principes et actions de Frères des Hommes en faveur de la préservation de l’environnement </w:t>
      </w:r>
    </w:p>
    <w:p w:rsidR="00BC69D7" w:rsidRDefault="00BC69D7">
      <w:pPr>
        <w:pStyle w:val="Titre"/>
        <w:jc w:val="left"/>
        <w:rPr>
          <w:b w:val="0"/>
          <w:bCs w:val="0"/>
          <w:u w:val="none"/>
        </w:rPr>
      </w:pPr>
    </w:p>
    <w:p w:rsidR="00BC69D7" w:rsidRDefault="00BC69D7">
      <w:pPr>
        <w:pStyle w:val="Titre"/>
        <w:jc w:val="left"/>
        <w:rPr>
          <w:b w:val="0"/>
          <w:bCs w:val="0"/>
          <w:u w:val="none"/>
        </w:rPr>
      </w:pPr>
    </w:p>
    <w:p w:rsidR="00BC69D7" w:rsidRDefault="00BC69D7">
      <w:pPr>
        <w:pStyle w:val="Standard"/>
        <w:jc w:val="both"/>
        <w:rPr>
          <w:rFonts w:ascii="Arial" w:hAnsi="Arial" w:cs="Arial"/>
        </w:rPr>
      </w:pPr>
    </w:p>
    <w:p w:rsidR="00BC69D7" w:rsidRDefault="005049FA">
      <w:pPr>
        <w:pStyle w:val="Paragraphedeliste"/>
        <w:numPr>
          <w:ilvl w:val="0"/>
          <w:numId w:val="7"/>
        </w:numPr>
        <w:jc w:val="both"/>
      </w:pPr>
      <w:r>
        <w:rPr>
          <w:rFonts w:ascii="Arial" w:hAnsi="Arial" w:cs="Arial"/>
          <w:b/>
          <w:u w:val="single"/>
        </w:rPr>
        <w:t>Cadre théorique et principes de base</w:t>
      </w:r>
    </w:p>
    <w:p w:rsidR="00BC69D7" w:rsidRDefault="00BC69D7">
      <w:pPr>
        <w:pStyle w:val="Standard"/>
        <w:jc w:val="both"/>
        <w:rPr>
          <w:rFonts w:ascii="Arial" w:hAnsi="Arial" w:cs="Arial"/>
        </w:rPr>
      </w:pPr>
    </w:p>
    <w:p w:rsidR="00BC69D7" w:rsidRDefault="005049FA">
      <w:pPr>
        <w:pStyle w:val="Standard"/>
        <w:jc w:val="both"/>
      </w:pPr>
      <w:r>
        <w:rPr>
          <w:rFonts w:ascii="Arial" w:hAnsi="Arial" w:cs="Arial"/>
        </w:rPr>
        <w:t>Depuis plus de 40 ans, le développement durable a été dans le cœur de l’action de Frères des Hommes (FDH)</w:t>
      </w:r>
      <w:r>
        <w:rPr>
          <w:rStyle w:val="Appelnotedebasdep"/>
        </w:rPr>
        <w:footnoteReference w:id="1"/>
      </w:r>
      <w:r>
        <w:rPr>
          <w:rFonts w:ascii="Arial" w:hAnsi="Arial" w:cs="Arial"/>
        </w:rPr>
        <w:t xml:space="preserve">.  Pour FDH, le développement durable est « la capacité d’un peuple à résoudre les problèmes de la vie collective d’une manière efficace et éthiquement acceptable. Cela veut dire respecter les droits humains et assurer l’égalité d’accès aux bénéfices et aux décisions sociales de chaque membre d’un groupe. Tout développement </w:t>
      </w:r>
      <w:r w:rsidR="00123C82">
        <w:rPr>
          <w:rFonts w:ascii="Arial" w:hAnsi="Arial" w:cs="Arial"/>
        </w:rPr>
        <w:t xml:space="preserve">est indissociable de la </w:t>
      </w:r>
      <w:r>
        <w:rPr>
          <w:rFonts w:ascii="Arial" w:hAnsi="Arial" w:cs="Arial"/>
        </w:rPr>
        <w:t xml:space="preserve">lutte contre l’exclusion et ses conséquences. De plus, </w:t>
      </w:r>
      <w:r>
        <w:rPr>
          <w:rFonts w:ascii="Arial" w:hAnsi="Arial" w:cs="Arial"/>
          <w:b/>
          <w:i/>
        </w:rPr>
        <w:t>un développement durable est un développement qui répond aux besoins du présent sans compromettre les capacités des générations futures à assurer les leurs.</w:t>
      </w:r>
      <w:r>
        <w:rPr>
          <w:rFonts w:ascii="Arial" w:hAnsi="Arial" w:cs="Arial"/>
        </w:rPr>
        <w:t> »</w:t>
      </w:r>
      <w:r>
        <w:rPr>
          <w:rStyle w:val="Appelnotedebasdep"/>
        </w:rPr>
        <w:footnoteReference w:id="2"/>
      </w:r>
    </w:p>
    <w:p w:rsidR="00BC69D7" w:rsidRDefault="00BC69D7">
      <w:pPr>
        <w:pStyle w:val="Standard"/>
        <w:jc w:val="both"/>
        <w:rPr>
          <w:rFonts w:ascii="Arial" w:hAnsi="Arial" w:cs="Arial"/>
          <w:b/>
          <w:bCs/>
          <w:i/>
          <w:iCs/>
          <w:u w:val="single"/>
        </w:rPr>
      </w:pPr>
    </w:p>
    <w:p w:rsidR="00BC69D7" w:rsidRDefault="005049FA">
      <w:pPr>
        <w:pStyle w:val="Standard"/>
      </w:pPr>
      <w:r>
        <w:rPr>
          <w:rFonts w:ascii="Arial" w:hAnsi="Arial" w:cs="Arial"/>
          <w:bCs/>
          <w:iCs/>
        </w:rPr>
        <w:t xml:space="preserve">Trois piliers </w:t>
      </w:r>
      <w:r>
        <w:rPr>
          <w:rFonts w:ascii="Arial" w:hAnsi="Arial" w:cs="Arial"/>
        </w:rPr>
        <w:t>–avec le même statut et la même importance- fondent la mise en œuvre du développement durable :</w:t>
      </w:r>
    </w:p>
    <w:p w:rsidR="00BC69D7" w:rsidRDefault="00BC69D7">
      <w:pPr>
        <w:pStyle w:val="Standard"/>
        <w:jc w:val="both"/>
        <w:rPr>
          <w:rFonts w:ascii="Arial" w:hAnsi="Arial" w:cs="Arial"/>
        </w:rPr>
      </w:pPr>
    </w:p>
    <w:p w:rsidR="00BC69D7" w:rsidRDefault="005049FA">
      <w:pPr>
        <w:pStyle w:val="Standard"/>
        <w:numPr>
          <w:ilvl w:val="0"/>
          <w:numId w:val="8"/>
        </w:numPr>
        <w:jc w:val="both"/>
      </w:pPr>
      <w:r>
        <w:rPr>
          <w:rFonts w:ascii="Arial" w:hAnsi="Arial" w:cs="Arial"/>
        </w:rPr>
        <w:t>L’économique : le développement durable a un objectif de croissance et d’efficacité économique.</w:t>
      </w:r>
    </w:p>
    <w:p w:rsidR="00BC69D7" w:rsidRDefault="005049FA">
      <w:pPr>
        <w:pStyle w:val="Standard"/>
        <w:numPr>
          <w:ilvl w:val="0"/>
          <w:numId w:val="1"/>
        </w:numPr>
        <w:jc w:val="both"/>
      </w:pPr>
      <w:r>
        <w:rPr>
          <w:rFonts w:ascii="Arial" w:hAnsi="Arial" w:cs="Arial"/>
        </w:rPr>
        <w:t>Le social et le politique: le développement durable doit répondre à un objectif d’équité sociale et doit partir des besoins humains.</w:t>
      </w:r>
    </w:p>
    <w:p w:rsidR="00BC69D7" w:rsidRDefault="005049FA">
      <w:pPr>
        <w:pStyle w:val="Standard"/>
        <w:numPr>
          <w:ilvl w:val="0"/>
          <w:numId w:val="1"/>
        </w:numPr>
        <w:jc w:val="both"/>
      </w:pPr>
      <w:r>
        <w:rPr>
          <w:rFonts w:ascii="Arial" w:hAnsi="Arial" w:cs="Arial"/>
        </w:rPr>
        <w:t>L’environnemental : le développement durable doit contribuer à préserver, améliorer et valoriser l’environnement et préserver les ressources sur le long terme.</w:t>
      </w:r>
    </w:p>
    <w:p w:rsidR="00BC69D7" w:rsidRDefault="00BC69D7">
      <w:pPr>
        <w:pStyle w:val="Standard"/>
        <w:jc w:val="both"/>
        <w:rPr>
          <w:rFonts w:ascii="Arial" w:hAnsi="Arial" w:cs="Arial"/>
          <w:b/>
          <w:bCs/>
          <w:i/>
          <w:iCs/>
          <w:u w:val="single"/>
        </w:rPr>
      </w:pPr>
    </w:p>
    <w:p w:rsidR="00BC69D7" w:rsidRDefault="00BC69D7">
      <w:pPr>
        <w:pStyle w:val="Standard"/>
        <w:jc w:val="both"/>
        <w:rPr>
          <w:rFonts w:ascii="Arial" w:hAnsi="Arial" w:cs="Arial"/>
        </w:rPr>
      </w:pPr>
    </w:p>
    <w:p w:rsidR="00BC69D7" w:rsidRPr="009C6AED" w:rsidRDefault="005049FA">
      <w:pPr>
        <w:pStyle w:val="Textbody"/>
        <w:pBdr>
          <w:top w:val="none" w:sz="0" w:space="0" w:color="auto"/>
          <w:left w:val="none" w:sz="0" w:space="0" w:color="auto"/>
          <w:bottom w:val="none" w:sz="0" w:space="0" w:color="auto"/>
          <w:right w:val="none" w:sz="0" w:space="0" w:color="auto"/>
        </w:pBdr>
        <w:jc w:val="both"/>
        <w:rPr>
          <w:i/>
        </w:rPr>
      </w:pPr>
      <w:r w:rsidRPr="009C6AED">
        <w:rPr>
          <w:rFonts w:cs="Arial"/>
          <w:bCs w:val="0"/>
          <w:i/>
          <w:sz w:val="24"/>
          <w:szCs w:val="24"/>
        </w:rPr>
        <w:t>Ce pilier environnemental prend son appui sur les options suivantes :</w:t>
      </w:r>
    </w:p>
    <w:p w:rsidR="00BC69D7" w:rsidRDefault="00BC69D7">
      <w:pPr>
        <w:pStyle w:val="Textbody"/>
        <w:pBdr>
          <w:top w:val="none" w:sz="0" w:space="0" w:color="auto"/>
          <w:left w:val="none" w:sz="0" w:space="0" w:color="auto"/>
          <w:bottom w:val="none" w:sz="0" w:space="0" w:color="auto"/>
          <w:right w:val="none" w:sz="0" w:space="0" w:color="auto"/>
        </w:pBdr>
        <w:jc w:val="both"/>
        <w:rPr>
          <w:rFonts w:cs="Arial"/>
          <w:b w:val="0"/>
          <w:bCs w:val="0"/>
          <w:sz w:val="24"/>
          <w:szCs w:val="24"/>
        </w:rPr>
      </w:pPr>
    </w:p>
    <w:p w:rsidR="00BC69D7" w:rsidRDefault="005049FA">
      <w:pPr>
        <w:pStyle w:val="Textbody"/>
        <w:numPr>
          <w:ilvl w:val="0"/>
          <w:numId w:val="9"/>
        </w:numPr>
        <w:pBdr>
          <w:top w:val="none" w:sz="0" w:space="0" w:color="auto"/>
          <w:left w:val="none" w:sz="0" w:space="0" w:color="auto"/>
          <w:bottom w:val="none" w:sz="0" w:space="0" w:color="auto"/>
          <w:right w:val="none" w:sz="0" w:space="0" w:color="auto"/>
        </w:pBdr>
        <w:jc w:val="both"/>
      </w:pPr>
      <w:r>
        <w:rPr>
          <w:rFonts w:cs="Arial"/>
          <w:b w:val="0"/>
          <w:bCs w:val="0"/>
          <w:sz w:val="24"/>
          <w:szCs w:val="24"/>
        </w:rPr>
        <w:t>promotion et soutien effectif de la souveraineté alimentaire (droits de chaque société d’assurer l’alimentation sans dépendre d’autres sociétés) et la sécurité alimentaire (droit du peuple à se nourrir correctement)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t>préservation des cultures et productions locales et adaptées aux milieux en question (indépendance des producteurs en ce qui concerne la production de semences</w:t>
      </w:r>
      <w:r>
        <w:rPr>
          <w:sz w:val="24"/>
          <w:szCs w:val="24"/>
        </w:rPr>
        <w:t xml:space="preserve"> </w:t>
      </w:r>
      <w:r>
        <w:rPr>
          <w:rFonts w:cs="Arial"/>
          <w:b w:val="0"/>
          <w:bCs w:val="0"/>
          <w:sz w:val="24"/>
          <w:szCs w:val="24"/>
        </w:rPr>
        <w:t>génétiquement non modifiées);</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lastRenderedPageBreak/>
        <w:t>promotion et préservation de pratiques culturelles et/ou ancestrales qui protègent l’environnement de manières diverses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t>respect de la biodiversité et de l’environnement : utilisation de produits non-toxiques, pas d’utilisation d’OGM, utilisation de technologies adaptées à l’environnement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t>opposition à des extractions irrationnelles des ressources naturelles qui provoqueront la destruction de l’environnement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t>partage de la terre et diversification de la production afin d’empêcher la  monoculture intensive dans de grosses propriétés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t>promotion d’une agriculture familiale qui protège l’environnement et qui empêche l’épuisement des ressources naturelles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b w:val="0"/>
          <w:bCs w:val="0"/>
          <w:sz w:val="24"/>
          <w:szCs w:val="24"/>
        </w:rPr>
        <w:t>promotion du recyclage, du compostage, et la réduction de consommation de produits non-recyclables ;</w:t>
      </w:r>
    </w:p>
    <w:p w:rsidR="00BC69D7" w:rsidRDefault="005049FA">
      <w:pPr>
        <w:pStyle w:val="Textbody"/>
        <w:numPr>
          <w:ilvl w:val="0"/>
          <w:numId w:val="5"/>
        </w:numPr>
        <w:pBdr>
          <w:top w:val="none" w:sz="0" w:space="0" w:color="auto"/>
          <w:left w:val="none" w:sz="0" w:space="0" w:color="auto"/>
          <w:bottom w:val="none" w:sz="0" w:space="0" w:color="auto"/>
          <w:right w:val="none" w:sz="0" w:space="0" w:color="auto"/>
        </w:pBdr>
        <w:jc w:val="both"/>
      </w:pPr>
      <w:r>
        <w:rPr>
          <w:b w:val="0"/>
          <w:sz w:val="24"/>
          <w:szCs w:val="24"/>
        </w:rPr>
        <w:t>promotion d’une consommation responsable qui tende à une utilisation rationnelle des ressources</w:t>
      </w:r>
    </w:p>
    <w:p w:rsidR="00BC69D7" w:rsidRDefault="00BC69D7">
      <w:pPr>
        <w:pStyle w:val="Textbody"/>
        <w:pBdr>
          <w:top w:val="none" w:sz="0" w:space="0" w:color="auto"/>
          <w:left w:val="none" w:sz="0" w:space="0" w:color="auto"/>
          <w:bottom w:val="none" w:sz="0" w:space="0" w:color="auto"/>
          <w:right w:val="none" w:sz="0" w:space="0" w:color="auto"/>
        </w:pBdr>
        <w:jc w:val="both"/>
        <w:rPr>
          <w:b w:val="0"/>
          <w:sz w:val="24"/>
          <w:szCs w:val="24"/>
        </w:rPr>
      </w:pPr>
    </w:p>
    <w:p w:rsidR="009C6AED" w:rsidRDefault="009C6AED">
      <w:pPr>
        <w:pStyle w:val="Textbody"/>
        <w:pBdr>
          <w:top w:val="none" w:sz="0" w:space="0" w:color="auto"/>
          <w:left w:val="none" w:sz="0" w:space="0" w:color="auto"/>
          <w:bottom w:val="none" w:sz="0" w:space="0" w:color="auto"/>
          <w:right w:val="none" w:sz="0" w:space="0" w:color="auto"/>
        </w:pBdr>
        <w:jc w:val="both"/>
        <w:rPr>
          <w:b w:val="0"/>
          <w:sz w:val="24"/>
          <w:szCs w:val="24"/>
        </w:rPr>
      </w:pPr>
    </w:p>
    <w:p w:rsidR="00BC69D7" w:rsidRDefault="00BC69D7">
      <w:pPr>
        <w:pStyle w:val="Textbody"/>
        <w:pBdr>
          <w:top w:val="none" w:sz="0" w:space="0" w:color="auto"/>
          <w:left w:val="none" w:sz="0" w:space="0" w:color="auto"/>
          <w:bottom w:val="none" w:sz="0" w:space="0" w:color="auto"/>
          <w:right w:val="none" w:sz="0" w:space="0" w:color="auto"/>
        </w:pBdr>
        <w:jc w:val="both"/>
        <w:rPr>
          <w:b w:val="0"/>
          <w:sz w:val="24"/>
          <w:szCs w:val="24"/>
        </w:rPr>
      </w:pPr>
    </w:p>
    <w:p w:rsidR="00BC69D7" w:rsidRPr="009C6AED" w:rsidRDefault="005049FA" w:rsidP="009C6AED">
      <w:pPr>
        <w:pStyle w:val="Paragraphedeliste"/>
        <w:numPr>
          <w:ilvl w:val="0"/>
          <w:numId w:val="7"/>
        </w:numPr>
        <w:rPr>
          <w:rFonts w:ascii="Arial" w:hAnsi="Arial" w:cs="Arial"/>
          <w:b/>
          <w:u w:val="single"/>
        </w:rPr>
      </w:pPr>
      <w:r w:rsidRPr="009C6AED">
        <w:rPr>
          <w:rFonts w:ascii="Arial" w:hAnsi="Arial" w:cs="Arial"/>
          <w:b/>
          <w:u w:val="single"/>
        </w:rPr>
        <w:t>Dans la pratique, ces options se traduisent de la manière suivante</w:t>
      </w:r>
    </w:p>
    <w:p w:rsidR="00BC69D7" w:rsidRDefault="00BC69D7">
      <w:pPr>
        <w:pStyle w:val="Textbody"/>
        <w:pBdr>
          <w:top w:val="none" w:sz="0" w:space="0" w:color="auto"/>
          <w:left w:val="none" w:sz="0" w:space="0" w:color="auto"/>
          <w:bottom w:val="none" w:sz="0" w:space="0" w:color="auto"/>
          <w:right w:val="none" w:sz="0" w:space="0" w:color="auto"/>
        </w:pBdr>
        <w:jc w:val="both"/>
        <w:rPr>
          <w:sz w:val="24"/>
          <w:szCs w:val="24"/>
        </w:rPr>
      </w:pPr>
    </w:p>
    <w:p w:rsidR="009C6AED" w:rsidRDefault="009C6AED" w:rsidP="009C6AED">
      <w:pPr>
        <w:pStyle w:val="Textbody"/>
        <w:pBdr>
          <w:top w:val="none" w:sz="0" w:space="0" w:color="auto"/>
          <w:left w:val="none" w:sz="0" w:space="0" w:color="auto"/>
          <w:bottom w:val="none" w:sz="0" w:space="0" w:color="auto"/>
          <w:right w:val="none" w:sz="0" w:space="0" w:color="auto"/>
        </w:pBdr>
        <w:jc w:val="both"/>
        <w:rPr>
          <w:sz w:val="24"/>
          <w:szCs w:val="24"/>
        </w:rPr>
      </w:pPr>
    </w:p>
    <w:p w:rsidR="00BC69D7" w:rsidRDefault="005049FA" w:rsidP="009C6AED">
      <w:pPr>
        <w:pStyle w:val="Textbody"/>
        <w:numPr>
          <w:ilvl w:val="0"/>
          <w:numId w:val="5"/>
        </w:numPr>
        <w:pBdr>
          <w:top w:val="none" w:sz="0" w:space="0" w:color="auto"/>
          <w:left w:val="none" w:sz="0" w:space="0" w:color="auto"/>
          <w:bottom w:val="none" w:sz="0" w:space="0" w:color="auto"/>
          <w:right w:val="none" w:sz="0" w:space="0" w:color="auto"/>
        </w:pBdr>
        <w:jc w:val="both"/>
      </w:pPr>
      <w:r>
        <w:rPr>
          <w:sz w:val="24"/>
          <w:szCs w:val="24"/>
        </w:rPr>
        <w:t>Concernant les partenariats à mettre en place :</w:t>
      </w:r>
    </w:p>
    <w:p w:rsidR="00BC69D7" w:rsidRDefault="005049FA">
      <w:pPr>
        <w:pStyle w:val="Textbody"/>
        <w:pBdr>
          <w:top w:val="none" w:sz="0" w:space="0" w:color="auto"/>
          <w:left w:val="none" w:sz="0" w:space="0" w:color="auto"/>
          <w:bottom w:val="none" w:sz="0" w:space="0" w:color="auto"/>
          <w:right w:val="none" w:sz="0" w:space="0" w:color="auto"/>
        </w:pBdr>
        <w:ind w:left="720"/>
        <w:jc w:val="both"/>
      </w:pPr>
      <w:r>
        <w:rPr>
          <w:b w:val="0"/>
          <w:sz w:val="24"/>
          <w:szCs w:val="24"/>
        </w:rPr>
        <w:t>FDH établit de lien de partenariat avec des associations du Sud et du Nord qui partagent ces principes et qui œuvrent en conséquence, dans la mesure de ses possibilités.</w:t>
      </w:r>
    </w:p>
    <w:p w:rsidR="00BC69D7" w:rsidRDefault="00BC69D7">
      <w:pPr>
        <w:pStyle w:val="Textbody"/>
        <w:pBdr>
          <w:top w:val="none" w:sz="0" w:space="0" w:color="auto"/>
          <w:left w:val="none" w:sz="0" w:space="0" w:color="auto"/>
          <w:bottom w:val="none" w:sz="0" w:space="0" w:color="auto"/>
          <w:right w:val="none" w:sz="0" w:space="0" w:color="auto"/>
        </w:pBdr>
        <w:ind w:left="720"/>
        <w:jc w:val="both"/>
        <w:rPr>
          <w:sz w:val="24"/>
          <w:szCs w:val="24"/>
        </w:rPr>
      </w:pPr>
    </w:p>
    <w:p w:rsidR="00BC69D7" w:rsidRDefault="005049FA" w:rsidP="009C6AED">
      <w:pPr>
        <w:pStyle w:val="Textbody"/>
        <w:numPr>
          <w:ilvl w:val="0"/>
          <w:numId w:val="5"/>
        </w:numPr>
        <w:pBdr>
          <w:top w:val="none" w:sz="0" w:space="0" w:color="auto"/>
          <w:left w:val="none" w:sz="0" w:space="0" w:color="auto"/>
          <w:bottom w:val="none" w:sz="0" w:space="0" w:color="auto"/>
          <w:right w:val="none" w:sz="0" w:space="0" w:color="auto"/>
        </w:pBdr>
        <w:jc w:val="both"/>
      </w:pPr>
      <w:r>
        <w:rPr>
          <w:sz w:val="24"/>
          <w:szCs w:val="24"/>
        </w:rPr>
        <w:t>Concernant les actions à mettre en pratique et/ou à soutenir :</w:t>
      </w:r>
    </w:p>
    <w:p w:rsidR="00BC69D7" w:rsidRDefault="005049FA">
      <w:pPr>
        <w:pStyle w:val="Textbody"/>
        <w:pBdr>
          <w:top w:val="none" w:sz="0" w:space="0" w:color="auto"/>
          <w:left w:val="none" w:sz="0" w:space="0" w:color="auto"/>
          <w:bottom w:val="none" w:sz="0" w:space="0" w:color="auto"/>
          <w:right w:val="none" w:sz="0" w:space="0" w:color="auto"/>
        </w:pBdr>
        <w:ind w:left="720"/>
        <w:jc w:val="both"/>
      </w:pPr>
      <w:r>
        <w:rPr>
          <w:b w:val="0"/>
          <w:sz w:val="24"/>
          <w:szCs w:val="24"/>
        </w:rPr>
        <w:t>FDH soutient des actions des partenaires qui mettent en œuvre les ou quelques principes du développement durable, par le biais des accompagnements, des financements, des formations, et des échanges, entre autres.</w:t>
      </w:r>
    </w:p>
    <w:p w:rsidR="00BC69D7" w:rsidRDefault="00BC69D7">
      <w:pPr>
        <w:pStyle w:val="Textbody"/>
        <w:pBdr>
          <w:top w:val="none" w:sz="0" w:space="0" w:color="auto"/>
          <w:left w:val="none" w:sz="0" w:space="0" w:color="auto"/>
          <w:bottom w:val="none" w:sz="0" w:space="0" w:color="auto"/>
          <w:right w:val="none" w:sz="0" w:space="0" w:color="auto"/>
        </w:pBdr>
        <w:ind w:left="720"/>
        <w:jc w:val="both"/>
        <w:rPr>
          <w:b w:val="0"/>
          <w:sz w:val="24"/>
          <w:szCs w:val="24"/>
        </w:rPr>
      </w:pPr>
    </w:p>
    <w:p w:rsidR="00BC69D7" w:rsidRDefault="005049FA" w:rsidP="009C6AED">
      <w:pPr>
        <w:pStyle w:val="Textbody"/>
        <w:numPr>
          <w:ilvl w:val="0"/>
          <w:numId w:val="5"/>
        </w:numPr>
        <w:pBdr>
          <w:top w:val="none" w:sz="0" w:space="0" w:color="auto"/>
          <w:left w:val="none" w:sz="0" w:space="0" w:color="auto"/>
          <w:bottom w:val="none" w:sz="0" w:space="0" w:color="auto"/>
          <w:right w:val="none" w:sz="0" w:space="0" w:color="auto"/>
        </w:pBdr>
        <w:jc w:val="both"/>
      </w:pPr>
      <w:r>
        <w:rPr>
          <w:sz w:val="24"/>
          <w:szCs w:val="24"/>
        </w:rPr>
        <w:t>Concernant les contenus traités :</w:t>
      </w:r>
    </w:p>
    <w:p w:rsidR="00BC69D7" w:rsidRDefault="005049FA">
      <w:pPr>
        <w:pStyle w:val="Textbody"/>
        <w:pBdr>
          <w:top w:val="none" w:sz="0" w:space="0" w:color="auto"/>
          <w:left w:val="none" w:sz="0" w:space="0" w:color="auto"/>
          <w:bottom w:val="none" w:sz="0" w:space="0" w:color="auto"/>
          <w:right w:val="none" w:sz="0" w:space="0" w:color="auto"/>
        </w:pBdr>
        <w:ind w:left="720"/>
        <w:jc w:val="both"/>
      </w:pPr>
      <w:r>
        <w:rPr>
          <w:b w:val="0"/>
          <w:sz w:val="24"/>
          <w:szCs w:val="24"/>
        </w:rPr>
        <w:t xml:space="preserve">FDH donne des formations qui abordent différents aspects du développement </w:t>
      </w:r>
      <w:r>
        <w:rPr>
          <w:rFonts w:cs="Arial"/>
          <w:b w:val="0"/>
          <w:sz w:val="24"/>
          <w:szCs w:val="24"/>
        </w:rPr>
        <w:t>durable –mentionnés ci-dessus- afin de préparer les participants de ses formations à agir dans cette direction.</w:t>
      </w:r>
    </w:p>
    <w:p w:rsidR="00BC69D7" w:rsidRDefault="00BC69D7">
      <w:pPr>
        <w:pStyle w:val="Textbody"/>
        <w:pBdr>
          <w:top w:val="none" w:sz="0" w:space="0" w:color="auto"/>
          <w:left w:val="none" w:sz="0" w:space="0" w:color="auto"/>
          <w:bottom w:val="none" w:sz="0" w:space="0" w:color="auto"/>
          <w:right w:val="none" w:sz="0" w:space="0" w:color="auto"/>
        </w:pBdr>
        <w:ind w:left="720"/>
        <w:jc w:val="both"/>
        <w:rPr>
          <w:rFonts w:cs="Arial"/>
          <w:sz w:val="24"/>
          <w:szCs w:val="24"/>
        </w:rPr>
      </w:pPr>
    </w:p>
    <w:p w:rsidR="00BC69D7" w:rsidRDefault="005049FA" w:rsidP="009C6AED">
      <w:pPr>
        <w:pStyle w:val="Textbody"/>
        <w:numPr>
          <w:ilvl w:val="0"/>
          <w:numId w:val="5"/>
        </w:numPr>
        <w:pBdr>
          <w:top w:val="none" w:sz="0" w:space="0" w:color="auto"/>
          <w:left w:val="none" w:sz="0" w:space="0" w:color="auto"/>
          <w:bottom w:val="none" w:sz="0" w:space="0" w:color="auto"/>
          <w:right w:val="none" w:sz="0" w:space="0" w:color="auto"/>
        </w:pBdr>
        <w:jc w:val="both"/>
      </w:pPr>
      <w:r>
        <w:rPr>
          <w:rFonts w:cs="Arial"/>
          <w:sz w:val="24"/>
          <w:szCs w:val="24"/>
        </w:rPr>
        <w:t>Concernant l’organisation interne de FDH :</w:t>
      </w:r>
    </w:p>
    <w:p w:rsidR="002D396A" w:rsidRPr="002D396A" w:rsidRDefault="005049FA" w:rsidP="002D396A">
      <w:pPr>
        <w:pStyle w:val="Paragraphedeliste"/>
        <w:numPr>
          <w:ilvl w:val="0"/>
          <w:numId w:val="12"/>
        </w:numPr>
        <w:suppressAutoHyphens w:val="0"/>
        <w:autoSpaceDN/>
        <w:spacing w:after="200" w:line="276" w:lineRule="auto"/>
        <w:contextualSpacing/>
        <w:jc w:val="both"/>
        <w:textAlignment w:val="auto"/>
        <w:rPr>
          <w:rFonts w:asciiTheme="minorHAnsi" w:eastAsiaTheme="minorHAnsi" w:hAnsiTheme="minorHAnsi" w:cstheme="minorHAnsi"/>
          <w:kern w:val="0"/>
          <w:sz w:val="22"/>
          <w:szCs w:val="22"/>
          <w:lang w:eastAsia="en-US"/>
        </w:rPr>
      </w:pPr>
      <w:r>
        <w:rPr>
          <w:rFonts w:ascii="Arial" w:hAnsi="Arial" w:cs="Arial"/>
        </w:rPr>
        <w:t>FDH s’engage à réduire l’impact de ses activités sur l’environnement et sur le changement climatique, en cherchant à minimiser au maximum son impact sur l’environnement et en créant un environnement de travail qui réduit la co</w:t>
      </w:r>
      <w:r>
        <w:rPr>
          <w:rFonts w:ascii="Arial" w:hAnsi="Arial" w:cs="Arial"/>
        </w:rPr>
        <w:t>n</w:t>
      </w:r>
      <w:r>
        <w:rPr>
          <w:rFonts w:ascii="Arial" w:hAnsi="Arial" w:cs="Arial"/>
        </w:rPr>
        <w:lastRenderedPageBreak/>
        <w:t>sommation d’énergie et la production des déchets. Dans le cadre du travail et du bureau, les membres de FDH orientent leur action vers le choix raisonné des moyens de transport, le recyclage et le compostage, la réduction de la consommation d’eau, d’énergie et gaz  et le développement d’achats écore</w:t>
      </w:r>
      <w:r>
        <w:rPr>
          <w:rFonts w:ascii="Arial" w:hAnsi="Arial" w:cs="Arial"/>
        </w:rPr>
        <w:t>s</w:t>
      </w:r>
      <w:r>
        <w:rPr>
          <w:rFonts w:ascii="Arial" w:hAnsi="Arial" w:cs="Arial"/>
        </w:rPr>
        <w:t>ponsables.</w:t>
      </w:r>
      <w:r w:rsidR="002D396A">
        <w:rPr>
          <w:rFonts w:ascii="Arial" w:hAnsi="Arial" w:cs="Arial"/>
        </w:rPr>
        <w:t xml:space="preserve"> FDH s’efforce aussi, dans la mesure du possible, de choisir des organismes </w:t>
      </w:r>
      <w:r w:rsidR="002D396A" w:rsidRPr="002D396A">
        <w:rPr>
          <w:rFonts w:ascii="Arial" w:eastAsiaTheme="minorHAnsi" w:hAnsi="Arial" w:cs="Arial"/>
          <w:kern w:val="0"/>
          <w:lang w:eastAsia="en-US"/>
        </w:rPr>
        <w:t xml:space="preserve">financiers (banques, assurances) qui adoptent des codes d’éthique compatibles avec </w:t>
      </w:r>
      <w:r w:rsidR="002D396A">
        <w:rPr>
          <w:rFonts w:ascii="Arial" w:eastAsiaTheme="minorHAnsi" w:hAnsi="Arial" w:cs="Arial"/>
          <w:kern w:val="0"/>
          <w:lang w:eastAsia="en-US"/>
        </w:rPr>
        <w:t>les options du</w:t>
      </w:r>
      <w:r w:rsidR="002D396A" w:rsidRPr="002D396A">
        <w:rPr>
          <w:rFonts w:ascii="Arial" w:eastAsiaTheme="minorHAnsi" w:hAnsi="Arial" w:cs="Arial"/>
          <w:kern w:val="0"/>
          <w:lang w:eastAsia="en-US"/>
        </w:rPr>
        <w:t xml:space="preserve"> développement durable de l’association, en particulier en ce qui concerne les actifs et placements de ces organismes.</w:t>
      </w:r>
      <w:r w:rsidR="002D396A" w:rsidRPr="002D396A">
        <w:rPr>
          <w:rFonts w:asciiTheme="minorHAnsi" w:eastAsiaTheme="minorHAnsi" w:hAnsiTheme="minorHAnsi" w:cstheme="minorHAnsi"/>
          <w:kern w:val="0"/>
          <w:sz w:val="22"/>
          <w:szCs w:val="22"/>
          <w:lang w:eastAsia="en-US"/>
        </w:rPr>
        <w:t> </w:t>
      </w:r>
    </w:p>
    <w:p w:rsidR="00BC69D7" w:rsidRDefault="00BC69D7">
      <w:pPr>
        <w:pStyle w:val="Paragraphedeliste"/>
        <w:jc w:val="both"/>
      </w:pPr>
    </w:p>
    <w:p w:rsidR="00BC69D7" w:rsidRDefault="00BC69D7">
      <w:pPr>
        <w:pStyle w:val="Standard"/>
        <w:rPr>
          <w:rFonts w:ascii="Arial" w:hAnsi="Arial" w:cs="Arial"/>
        </w:rPr>
      </w:pPr>
    </w:p>
    <w:p w:rsidR="00BC69D7" w:rsidRDefault="00BC69D7">
      <w:pPr>
        <w:pStyle w:val="Standard"/>
        <w:rPr>
          <w:rFonts w:ascii="Arial" w:hAnsi="Arial" w:cs="Arial"/>
        </w:rPr>
      </w:pPr>
    </w:p>
    <w:p w:rsidR="00BC69D7" w:rsidRDefault="005049FA" w:rsidP="002D396A">
      <w:pPr>
        <w:pStyle w:val="Standard"/>
        <w:jc w:val="both"/>
      </w:pPr>
      <w:r>
        <w:rPr>
          <w:rFonts w:ascii="Arial" w:hAnsi="Arial" w:cs="Arial"/>
        </w:rPr>
        <w:t>Les options exprimées dans cette charte sont dynamiques et elles s’adaptent et s’enrichissent selon l’évolution du contexte</w:t>
      </w:r>
      <w:r w:rsidR="002D396A">
        <w:rPr>
          <w:rFonts w:ascii="Arial" w:hAnsi="Arial" w:cs="Arial"/>
        </w:rPr>
        <w:t>. Toutefois, toute modification apportée à cette charte sera discutée et ensuite approuvée par les organes pertinents de l’association</w:t>
      </w:r>
      <w:r>
        <w:rPr>
          <w:rFonts w:ascii="Arial" w:hAnsi="Arial" w:cs="Arial"/>
        </w:rPr>
        <w:t>.</w:t>
      </w:r>
    </w:p>
    <w:p w:rsidR="00BC69D7" w:rsidRDefault="00BC69D7">
      <w:pPr>
        <w:pStyle w:val="Standard"/>
        <w:rPr>
          <w:rFonts w:ascii="Arial" w:hAnsi="Arial" w:cs="Arial"/>
        </w:rPr>
      </w:pPr>
    </w:p>
    <w:p w:rsidR="00FE22ED" w:rsidRDefault="00FE22ED">
      <w:pPr>
        <w:pStyle w:val="Standard"/>
        <w:rPr>
          <w:rFonts w:ascii="Arial" w:hAnsi="Arial" w:cs="Arial"/>
        </w:rPr>
      </w:pPr>
      <w:bookmarkStart w:id="0" w:name="_GoBack"/>
      <w:bookmarkEnd w:id="0"/>
    </w:p>
    <w:p w:rsidR="00BC69D7" w:rsidRDefault="005049FA">
      <w:pPr>
        <w:pStyle w:val="Standard"/>
      </w:pPr>
      <w:r>
        <w:rPr>
          <w:rFonts w:ascii="Arial" w:hAnsi="Arial" w:cs="Arial"/>
        </w:rPr>
        <w:t>(</w:t>
      </w:r>
      <w:r w:rsidR="00D14D3C">
        <w:rPr>
          <w:rFonts w:ascii="Arial" w:hAnsi="Arial" w:cs="Arial"/>
        </w:rPr>
        <w:t>Approuvée par</w:t>
      </w:r>
      <w:r>
        <w:rPr>
          <w:rFonts w:ascii="Arial" w:hAnsi="Arial" w:cs="Arial"/>
        </w:rPr>
        <w:t xml:space="preserve"> l’AG de Frères des Hommes, 6 juin 2020)</w:t>
      </w:r>
    </w:p>
    <w:p w:rsidR="00BC69D7" w:rsidRDefault="00BC69D7">
      <w:pPr>
        <w:pStyle w:val="Textbody"/>
        <w:pBdr>
          <w:top w:val="none" w:sz="0" w:space="0" w:color="auto"/>
          <w:left w:val="none" w:sz="0" w:space="0" w:color="auto"/>
          <w:bottom w:val="none" w:sz="0" w:space="0" w:color="auto"/>
          <w:right w:val="none" w:sz="0" w:space="0" w:color="auto"/>
        </w:pBdr>
        <w:ind w:left="720"/>
        <w:jc w:val="both"/>
        <w:rPr>
          <w:rFonts w:cs="Arial"/>
          <w:sz w:val="24"/>
          <w:szCs w:val="24"/>
        </w:rPr>
      </w:pPr>
    </w:p>
    <w:p w:rsidR="00BC69D7" w:rsidRDefault="00BC69D7">
      <w:pPr>
        <w:pStyle w:val="Standard"/>
      </w:pPr>
    </w:p>
    <w:sectPr w:rsidR="00BC69D7">
      <w:footerReference w:type="even" r:id="rId8"/>
      <w:footerReference w:type="default" r:id="rId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7B" w:rsidRDefault="00266F7B">
      <w:r>
        <w:separator/>
      </w:r>
    </w:p>
  </w:endnote>
  <w:endnote w:type="continuationSeparator" w:id="0">
    <w:p w:rsidR="00266F7B" w:rsidRDefault="0026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67" w:rsidRDefault="005049FA">
    <w:pPr>
      <w:pStyle w:val="Pieddepage"/>
      <w:ind w:right="360"/>
    </w:pPr>
    <w:r>
      <w:fldChar w:fldCharType="begin"/>
    </w:r>
    <w:r>
      <w:instrText xml:space="preserve"> PAGE </w:instrText>
    </w:r>
    <w:r>
      <w:fldChar w:fldCharType="separate"/>
    </w:r>
    <w:r w:rsidR="00D14D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67" w:rsidRDefault="005049FA">
    <w:pPr>
      <w:pStyle w:val="Pieddepage"/>
    </w:pPr>
    <w:r>
      <w:fldChar w:fldCharType="begin"/>
    </w:r>
    <w:r>
      <w:instrText xml:space="preserve"> PAGE </w:instrText>
    </w:r>
    <w:r>
      <w:fldChar w:fldCharType="separate"/>
    </w:r>
    <w:r w:rsidR="00FE22ED">
      <w:rPr>
        <w:noProof/>
      </w:rPr>
      <w:t>3</w:t>
    </w:r>
    <w:r>
      <w:fldChar w:fldCharType="end"/>
    </w:r>
  </w:p>
  <w:p w:rsidR="00CC5067" w:rsidRDefault="00266F7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7B" w:rsidRDefault="00266F7B">
      <w:r>
        <w:rPr>
          <w:color w:val="000000"/>
        </w:rPr>
        <w:separator/>
      </w:r>
    </w:p>
  </w:footnote>
  <w:footnote w:type="continuationSeparator" w:id="0">
    <w:p w:rsidR="00266F7B" w:rsidRDefault="00266F7B">
      <w:r>
        <w:continuationSeparator/>
      </w:r>
    </w:p>
  </w:footnote>
  <w:footnote w:id="1">
    <w:p w:rsidR="00BC69D7" w:rsidRDefault="005049FA">
      <w:pPr>
        <w:pStyle w:val="Corpsdetexte2"/>
        <w:jc w:val="both"/>
      </w:pPr>
      <w:r>
        <w:rPr>
          <w:rStyle w:val="Appelnotedebasdep"/>
        </w:rPr>
        <w:footnoteRef/>
      </w:r>
      <w:r>
        <w:rPr>
          <w:sz w:val="18"/>
          <w:szCs w:val="18"/>
          <w:lang w:val="fr-BE"/>
        </w:rPr>
        <w:t>Dans les années 80, deux campagnes d’éducation des publics-cible du Nord et du Sud de la planète témoignent de cet intérêt pour le développement durable et le souci concernant l’environnement (« Afrique Verte » ; « Mieux se nourrir ici pour vaincre la faim là-bas »).</w:t>
      </w:r>
    </w:p>
    <w:p w:rsidR="00BC69D7" w:rsidRDefault="00BC69D7">
      <w:pPr>
        <w:pStyle w:val="Notedebasdepage"/>
      </w:pPr>
    </w:p>
  </w:footnote>
  <w:footnote w:id="2">
    <w:p w:rsidR="00BC69D7" w:rsidRDefault="005049FA">
      <w:pPr>
        <w:pStyle w:val="Corpsdetexte2"/>
      </w:pPr>
      <w:r>
        <w:rPr>
          <w:rStyle w:val="Appelnotedebasdep"/>
        </w:rPr>
        <w:footnoteRef/>
      </w:r>
      <w:r>
        <w:rPr>
          <w:sz w:val="18"/>
          <w:szCs w:val="18"/>
        </w:rPr>
        <w:t xml:space="preserve">Le concept de base du développement durable utilisé par Frères des Hommes est celui qui est proposé par le rapport Brundtland, mais </w:t>
      </w:r>
      <w:r w:rsidR="009C6AED">
        <w:rPr>
          <w:sz w:val="18"/>
          <w:szCs w:val="18"/>
        </w:rPr>
        <w:t xml:space="preserve">qui est complété par </w:t>
      </w:r>
      <w:proofErr w:type="spellStart"/>
      <w:r w:rsidR="009C6AED">
        <w:rPr>
          <w:sz w:val="18"/>
          <w:szCs w:val="18"/>
        </w:rPr>
        <w:t>Bajoit</w:t>
      </w:r>
      <w:proofErr w:type="spellEnd"/>
      <w:r w:rsidR="009C6AED">
        <w:rPr>
          <w:sz w:val="18"/>
          <w:szCs w:val="18"/>
        </w:rPr>
        <w:t> </w:t>
      </w:r>
      <w:r w:rsidR="00123C82">
        <w:rPr>
          <w:sz w:val="18"/>
          <w:szCs w:val="18"/>
        </w:rPr>
        <w:t xml:space="preserve"> </w:t>
      </w:r>
      <w:r w:rsidR="00F45D81">
        <w:rPr>
          <w:sz w:val="18"/>
          <w:szCs w:val="18"/>
        </w:rPr>
        <w:t>« La Maison du Sociologue », Editions Academia, 2015</w:t>
      </w:r>
      <w:r w:rsidR="009C6AED">
        <w:rPr>
          <w:sz w:val="18"/>
          <w:szCs w:val="18"/>
        </w:rPr>
        <w:t>.</w:t>
      </w:r>
    </w:p>
    <w:p w:rsidR="00BC69D7" w:rsidRDefault="00BC69D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D0B"/>
    <w:multiLevelType w:val="hybridMultilevel"/>
    <w:tmpl w:val="F5AC6D06"/>
    <w:lvl w:ilvl="0" w:tplc="F98C3D5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8235E4"/>
    <w:multiLevelType w:val="multilevel"/>
    <w:tmpl w:val="3596317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66B7D9D"/>
    <w:multiLevelType w:val="multilevel"/>
    <w:tmpl w:val="835280A4"/>
    <w:styleLink w:val="WWNum3"/>
    <w:lvl w:ilvl="0">
      <w:start w:val="1"/>
      <w:numFmt w:val="decimal"/>
      <w:lvlText w:val="%1."/>
      <w:lvlJc w:val="left"/>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BFE4A37"/>
    <w:multiLevelType w:val="multilevel"/>
    <w:tmpl w:val="B7F488EE"/>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E2A5782"/>
    <w:multiLevelType w:val="multilevel"/>
    <w:tmpl w:val="BA2E22AA"/>
    <w:styleLink w:val="WWNum5"/>
    <w:lvl w:ilvl="0">
      <w:numFmt w:val="bullet"/>
      <w:lvlText w:val="-"/>
      <w:lvlJc w:val="left"/>
      <w:rPr>
        <w:rFonts w:ascii="Arial" w:eastAsia="Times New Roman" w:hAnsi="Aria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5A13AE4"/>
    <w:multiLevelType w:val="multilevel"/>
    <w:tmpl w:val="E490202A"/>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63A16EDD"/>
    <w:multiLevelType w:val="multilevel"/>
    <w:tmpl w:val="BEB84E06"/>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3"/>
    <w:lvlOverride w:ilvl="0">
      <w:startOverride w:val="1"/>
    </w:lvlOverride>
  </w:num>
  <w:num w:numId="8">
    <w:abstractNumId w:val="6"/>
  </w:num>
  <w:num w:numId="9">
    <w:abstractNumId w:val="4"/>
  </w:num>
  <w:num w:numId="10">
    <w:abstractNumId w:val="3"/>
  </w:num>
  <w:num w:numId="11">
    <w:abstractNumId w:val="1"/>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C69D7"/>
    <w:rsid w:val="00123C82"/>
    <w:rsid w:val="00266F7B"/>
    <w:rsid w:val="002D396A"/>
    <w:rsid w:val="005049FA"/>
    <w:rsid w:val="00521EF6"/>
    <w:rsid w:val="009C6AED"/>
    <w:rsid w:val="00BC69D7"/>
    <w:rsid w:val="00D14D3C"/>
    <w:rsid w:val="00F45D81"/>
    <w:rsid w:val="00FE2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spacing w:before="240" w:after="60"/>
      <w:outlineLvl w:val="0"/>
    </w:pPr>
    <w:rPr>
      <w:rFonts w:ascii="Arial" w:hAnsi="Arial" w:cs="Arial"/>
      <w:b/>
      <w:bCs/>
      <w:sz w:val="32"/>
      <w:szCs w:val="32"/>
      <w:lang w:val="fr-FR"/>
    </w:rPr>
  </w:style>
  <w:style w:type="paragraph" w:styleId="Titre4">
    <w:name w:val="heading 4"/>
    <w:basedOn w:val="Standard"/>
    <w:next w:val="Textbody"/>
    <w:pPr>
      <w:keepNext/>
      <w:tabs>
        <w:tab w:val="left" w:pos="2240"/>
      </w:tabs>
      <w:jc w:val="center"/>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lang w:val="fr-BE"/>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widowControl w:val="0"/>
      <w:pBdr>
        <w:top w:val="single" w:sz="36" w:space="1" w:color="00000A"/>
        <w:left w:val="single" w:sz="36" w:space="4" w:color="00000A"/>
        <w:bottom w:val="single" w:sz="36" w:space="1" w:color="00000A"/>
        <w:right w:val="single" w:sz="36" w:space="4" w:color="00000A"/>
      </w:pBdr>
      <w:jc w:val="center"/>
    </w:pPr>
    <w:rPr>
      <w:rFonts w:ascii="Arial" w:hAnsi="Arial"/>
      <w:b/>
      <w:bCs/>
      <w:sz w:val="48"/>
      <w:szCs w:val="20"/>
    </w:rPr>
  </w:style>
  <w:style w:type="paragraph" w:styleId="Liste">
    <w:name w:val="List"/>
    <w:basedOn w:val="Textbody"/>
    <w:rPr>
      <w:rFonts w:cs="Arial Unicode MS"/>
    </w:rPr>
  </w:style>
  <w:style w:type="paragraph" w:styleId="Lgende">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Notedebasdepage">
    <w:name w:val="footnote text"/>
    <w:basedOn w:val="Standard"/>
    <w:pPr>
      <w:jc w:val="both"/>
    </w:pPr>
    <w:rPr>
      <w:rFonts w:ascii="Arial" w:hAnsi="Arial"/>
      <w:sz w:val="20"/>
      <w:szCs w:val="20"/>
    </w:rPr>
  </w:style>
  <w:style w:type="paragraph" w:styleId="Corpsdetexte2">
    <w:name w:val="Body Text 2"/>
    <w:basedOn w:val="Standard"/>
    <w:rPr>
      <w:rFonts w:ascii="Arial" w:hAnsi="Arial" w:cs="Arial"/>
      <w:sz w:val="22"/>
      <w:lang w:val="fr-FR"/>
    </w:rPr>
  </w:style>
  <w:style w:type="paragraph" w:styleId="Sous-titre">
    <w:name w:val="Subtitle"/>
    <w:basedOn w:val="Standard"/>
    <w:next w:val="Textbody"/>
    <w:rPr>
      <w:rFonts w:ascii="Arial" w:hAnsi="Arial"/>
      <w:b/>
      <w:i/>
      <w:iCs/>
      <w:sz w:val="28"/>
      <w:szCs w:val="20"/>
      <w:lang w:val="es-ES" w:eastAsia="es-ES"/>
    </w:rPr>
  </w:style>
  <w:style w:type="paragraph" w:styleId="Titre">
    <w:name w:val="Title"/>
    <w:basedOn w:val="Standard"/>
    <w:next w:val="Sous-titre"/>
    <w:pPr>
      <w:jc w:val="center"/>
    </w:pPr>
    <w:rPr>
      <w:rFonts w:ascii="Arial" w:hAnsi="Arial" w:cs="Arial"/>
      <w:b/>
      <w:bCs/>
      <w:sz w:val="36"/>
      <w:szCs w:val="36"/>
      <w:u w:val="single"/>
    </w:rPr>
  </w:style>
  <w:style w:type="paragraph" w:styleId="Corpsdetexte3">
    <w:name w:val="Body Text 3"/>
    <w:basedOn w:val="Standard"/>
    <w:pPr>
      <w:jc w:val="both"/>
    </w:pPr>
    <w:rPr>
      <w:rFonts w:ascii="Arial" w:hAnsi="Arial" w:cs="Arial"/>
      <w:sz w:val="22"/>
    </w:rPr>
  </w:style>
  <w:style w:type="paragraph" w:styleId="Pieddepage">
    <w:name w:val="footer"/>
    <w:basedOn w:val="Standard"/>
    <w:pPr>
      <w:suppressLineNumbers/>
      <w:tabs>
        <w:tab w:val="center" w:pos="4536"/>
        <w:tab w:val="right" w:pos="9072"/>
      </w:tabs>
    </w:pPr>
  </w:style>
  <w:style w:type="paragraph" w:styleId="Paragraphedeliste">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character" w:styleId="Appelnotedebasdep">
    <w:name w:val="footnote reference"/>
    <w:rPr>
      <w:position w:val="0"/>
      <w:vertAlign w:val="superscript"/>
    </w:rPr>
  </w:style>
  <w:style w:type="character" w:styleId="Numrodepage">
    <w:name w:val="page number"/>
    <w:basedOn w:val="Policepardfaut"/>
  </w:style>
  <w:style w:type="character" w:customStyle="1" w:styleId="ListLabel1">
    <w:name w:val="ListLabel 1"/>
    <w:rPr>
      <w:rFonts w:eastAsia="Times New Roman" w:cs="Arial"/>
      <w:b w:val="0"/>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spacing w:before="240" w:after="60"/>
      <w:outlineLvl w:val="0"/>
    </w:pPr>
    <w:rPr>
      <w:rFonts w:ascii="Arial" w:hAnsi="Arial" w:cs="Arial"/>
      <w:b/>
      <w:bCs/>
      <w:sz w:val="32"/>
      <w:szCs w:val="32"/>
      <w:lang w:val="fr-FR"/>
    </w:rPr>
  </w:style>
  <w:style w:type="paragraph" w:styleId="Titre4">
    <w:name w:val="heading 4"/>
    <w:basedOn w:val="Standard"/>
    <w:next w:val="Textbody"/>
    <w:pPr>
      <w:keepNext/>
      <w:tabs>
        <w:tab w:val="left" w:pos="2240"/>
      </w:tabs>
      <w:jc w:val="center"/>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lang w:val="fr-BE"/>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widowControl w:val="0"/>
      <w:pBdr>
        <w:top w:val="single" w:sz="36" w:space="1" w:color="00000A"/>
        <w:left w:val="single" w:sz="36" w:space="4" w:color="00000A"/>
        <w:bottom w:val="single" w:sz="36" w:space="1" w:color="00000A"/>
        <w:right w:val="single" w:sz="36" w:space="4" w:color="00000A"/>
      </w:pBdr>
      <w:jc w:val="center"/>
    </w:pPr>
    <w:rPr>
      <w:rFonts w:ascii="Arial" w:hAnsi="Arial"/>
      <w:b/>
      <w:bCs/>
      <w:sz w:val="48"/>
      <w:szCs w:val="20"/>
    </w:rPr>
  </w:style>
  <w:style w:type="paragraph" w:styleId="Liste">
    <w:name w:val="List"/>
    <w:basedOn w:val="Textbody"/>
    <w:rPr>
      <w:rFonts w:cs="Arial Unicode MS"/>
    </w:rPr>
  </w:style>
  <w:style w:type="paragraph" w:styleId="Lgende">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Notedebasdepage">
    <w:name w:val="footnote text"/>
    <w:basedOn w:val="Standard"/>
    <w:pPr>
      <w:jc w:val="both"/>
    </w:pPr>
    <w:rPr>
      <w:rFonts w:ascii="Arial" w:hAnsi="Arial"/>
      <w:sz w:val="20"/>
      <w:szCs w:val="20"/>
    </w:rPr>
  </w:style>
  <w:style w:type="paragraph" w:styleId="Corpsdetexte2">
    <w:name w:val="Body Text 2"/>
    <w:basedOn w:val="Standard"/>
    <w:rPr>
      <w:rFonts w:ascii="Arial" w:hAnsi="Arial" w:cs="Arial"/>
      <w:sz w:val="22"/>
      <w:lang w:val="fr-FR"/>
    </w:rPr>
  </w:style>
  <w:style w:type="paragraph" w:styleId="Sous-titre">
    <w:name w:val="Subtitle"/>
    <w:basedOn w:val="Standard"/>
    <w:next w:val="Textbody"/>
    <w:rPr>
      <w:rFonts w:ascii="Arial" w:hAnsi="Arial"/>
      <w:b/>
      <w:i/>
      <w:iCs/>
      <w:sz w:val="28"/>
      <w:szCs w:val="20"/>
      <w:lang w:val="es-ES" w:eastAsia="es-ES"/>
    </w:rPr>
  </w:style>
  <w:style w:type="paragraph" w:styleId="Titre">
    <w:name w:val="Title"/>
    <w:basedOn w:val="Standard"/>
    <w:next w:val="Sous-titre"/>
    <w:pPr>
      <w:jc w:val="center"/>
    </w:pPr>
    <w:rPr>
      <w:rFonts w:ascii="Arial" w:hAnsi="Arial" w:cs="Arial"/>
      <w:b/>
      <w:bCs/>
      <w:sz w:val="36"/>
      <w:szCs w:val="36"/>
      <w:u w:val="single"/>
    </w:rPr>
  </w:style>
  <w:style w:type="paragraph" w:styleId="Corpsdetexte3">
    <w:name w:val="Body Text 3"/>
    <w:basedOn w:val="Standard"/>
    <w:pPr>
      <w:jc w:val="both"/>
    </w:pPr>
    <w:rPr>
      <w:rFonts w:ascii="Arial" w:hAnsi="Arial" w:cs="Arial"/>
      <w:sz w:val="22"/>
    </w:rPr>
  </w:style>
  <w:style w:type="paragraph" w:styleId="Pieddepage">
    <w:name w:val="footer"/>
    <w:basedOn w:val="Standard"/>
    <w:pPr>
      <w:suppressLineNumbers/>
      <w:tabs>
        <w:tab w:val="center" w:pos="4536"/>
        <w:tab w:val="right" w:pos="9072"/>
      </w:tabs>
    </w:pPr>
  </w:style>
  <w:style w:type="paragraph" w:styleId="Paragraphedeliste">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character" w:styleId="Appelnotedebasdep">
    <w:name w:val="footnote reference"/>
    <w:rPr>
      <w:position w:val="0"/>
      <w:vertAlign w:val="superscript"/>
    </w:rPr>
  </w:style>
  <w:style w:type="character" w:styleId="Numrodepage">
    <w:name w:val="page number"/>
    <w:basedOn w:val="Policepardfaut"/>
  </w:style>
  <w:style w:type="character" w:customStyle="1" w:styleId="ListLabel1">
    <w:name w:val="ListLabel 1"/>
    <w:rPr>
      <w:rFonts w:eastAsia="Times New Roman" w:cs="Arial"/>
      <w:b w:val="0"/>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Charte Environnement</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Environnement</dc:title>
  <dc:creator>Cecilia</dc:creator>
  <cp:lastModifiedBy>Cecilia Diaz</cp:lastModifiedBy>
  <cp:revision>5</cp:revision>
  <dcterms:created xsi:type="dcterms:W3CDTF">2020-04-27T11:03:00Z</dcterms:created>
  <dcterms:modified xsi:type="dcterms:W3CDTF">2020-06-12T10:34:00Z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